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6A" w:rsidRDefault="00DA38CB" w:rsidP="001D7065">
      <w:pPr>
        <w:pStyle w:val="NoSpacing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</w:t>
      </w:r>
      <w:proofErr w:type="gramStart"/>
      <w:r>
        <w:rPr>
          <w:rFonts w:cs="Times New Roman"/>
          <w:b/>
          <w:szCs w:val="28"/>
        </w:rPr>
        <w:t>to</w:t>
      </w:r>
      <w:proofErr w:type="gramEnd"/>
      <w:r>
        <w:rPr>
          <w:rFonts w:cs="Times New Roman"/>
          <w:b/>
          <w:szCs w:val="28"/>
        </w:rPr>
        <w:t xml:space="preserve"> be submitted </w:t>
      </w:r>
      <w:r w:rsidR="00A16C59">
        <w:rPr>
          <w:rFonts w:cs="Times New Roman"/>
          <w:b/>
          <w:szCs w:val="28"/>
        </w:rPr>
        <w:t xml:space="preserve">with Rs.100 stamped </w:t>
      </w:r>
      <w:r>
        <w:rPr>
          <w:rFonts w:cs="Times New Roman"/>
          <w:b/>
          <w:szCs w:val="28"/>
        </w:rPr>
        <w:t>and need to be Notarised</w:t>
      </w:r>
      <w:r w:rsidR="00A16C59">
        <w:rPr>
          <w:rFonts w:cs="Times New Roman"/>
          <w:b/>
          <w:szCs w:val="28"/>
        </w:rPr>
        <w:t xml:space="preserve"> and signed by the Resolution Applicant</w:t>
      </w:r>
      <w:r>
        <w:rPr>
          <w:rFonts w:cs="Times New Roman"/>
          <w:b/>
          <w:szCs w:val="28"/>
        </w:rPr>
        <w:t>)</w:t>
      </w:r>
    </w:p>
    <w:p w:rsidR="00BA3BFF" w:rsidRDefault="00BA3BFF" w:rsidP="005D6255">
      <w:pPr>
        <w:pStyle w:val="NoSpacing"/>
        <w:jc w:val="both"/>
        <w:rPr>
          <w:rFonts w:cs="Times New Roman"/>
          <w:b/>
          <w:szCs w:val="28"/>
        </w:rPr>
      </w:pPr>
    </w:p>
    <w:p w:rsidR="00BA3BFF" w:rsidRDefault="00BA3BFF" w:rsidP="005D6255">
      <w:pPr>
        <w:pStyle w:val="NoSpacing"/>
        <w:jc w:val="both"/>
        <w:rPr>
          <w:rFonts w:cs="Times New Roman"/>
          <w:b/>
          <w:szCs w:val="28"/>
        </w:rPr>
      </w:pPr>
    </w:p>
    <w:p w:rsidR="00BA3BFF" w:rsidRDefault="00BA3BFF" w:rsidP="005D6255">
      <w:pPr>
        <w:pStyle w:val="NoSpacing"/>
        <w:jc w:val="both"/>
        <w:rPr>
          <w:rFonts w:cs="Times New Roman"/>
          <w:b/>
          <w:szCs w:val="28"/>
        </w:rPr>
      </w:pPr>
    </w:p>
    <w:p w:rsidR="00BC1E18" w:rsidRDefault="00BC1E18" w:rsidP="005D6255">
      <w:pPr>
        <w:pStyle w:val="NoSpacing"/>
        <w:jc w:val="both"/>
        <w:rPr>
          <w:rFonts w:cs="Times New Roman"/>
          <w:szCs w:val="28"/>
        </w:rPr>
      </w:pPr>
    </w:p>
    <w:p w:rsidR="005D6255" w:rsidRPr="00BC1E18" w:rsidRDefault="005D6255" w:rsidP="005D6255">
      <w:pPr>
        <w:pStyle w:val="NoSpacing"/>
        <w:jc w:val="both"/>
        <w:rPr>
          <w:rFonts w:cs="Times New Roman"/>
          <w:szCs w:val="28"/>
        </w:rPr>
      </w:pPr>
      <w:r w:rsidRPr="00BC1E18">
        <w:rPr>
          <w:rFonts w:cs="Times New Roman"/>
          <w:szCs w:val="28"/>
        </w:rPr>
        <w:t>To,</w:t>
      </w:r>
    </w:p>
    <w:p w:rsidR="00BC1E18" w:rsidRDefault="00BC1E18" w:rsidP="00DE1FC9">
      <w:pPr>
        <w:pStyle w:val="NoSpacing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Mr.G.Madhusudhan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Rao</w:t>
      </w:r>
      <w:proofErr w:type="spellEnd"/>
      <w:r>
        <w:rPr>
          <w:rFonts w:cs="Times New Roman"/>
          <w:szCs w:val="28"/>
        </w:rPr>
        <w:t xml:space="preserve">, </w:t>
      </w:r>
    </w:p>
    <w:p w:rsidR="00DE1FC9" w:rsidRDefault="00DE1FC9" w:rsidP="00DE1FC9">
      <w:pPr>
        <w:pStyle w:val="NoSpacing"/>
        <w:jc w:val="both"/>
        <w:rPr>
          <w:rFonts w:cs="Times New Roman"/>
          <w:szCs w:val="28"/>
        </w:rPr>
      </w:pPr>
      <w:r w:rsidRPr="00DE1FC9">
        <w:rPr>
          <w:rFonts w:cs="Times New Roman"/>
          <w:szCs w:val="28"/>
        </w:rPr>
        <w:t>Resolution Professional</w:t>
      </w:r>
      <w:r w:rsidR="00BC1E18">
        <w:rPr>
          <w:rFonts w:cs="Times New Roman"/>
          <w:szCs w:val="28"/>
        </w:rPr>
        <w:t>,</w:t>
      </w:r>
      <w:r w:rsidRPr="00DE1FC9">
        <w:rPr>
          <w:rFonts w:cs="Times New Roman"/>
          <w:szCs w:val="28"/>
        </w:rPr>
        <w:t xml:space="preserve"> </w:t>
      </w:r>
    </w:p>
    <w:p w:rsidR="00BC1E18" w:rsidRDefault="00BC1E18" w:rsidP="00DE1FC9"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M/s. </w:t>
      </w:r>
      <w:r w:rsidR="00A16C59">
        <w:rPr>
          <w:rFonts w:cs="Times New Roman"/>
          <w:szCs w:val="28"/>
        </w:rPr>
        <w:t>GKC Projects Limited</w:t>
      </w:r>
      <w:r>
        <w:rPr>
          <w:rFonts w:cs="Times New Roman"/>
          <w:szCs w:val="28"/>
        </w:rPr>
        <w:t>,</w:t>
      </w:r>
    </w:p>
    <w:p w:rsidR="00BC1E18" w:rsidRPr="00DE1FC9" w:rsidRDefault="00BC1E18" w:rsidP="00DE1FC9"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Hyderabad.</w:t>
      </w:r>
    </w:p>
    <w:p w:rsidR="00A94DD1" w:rsidRDefault="00A94DD1" w:rsidP="005D6255">
      <w:pPr>
        <w:pStyle w:val="NoSpacing"/>
        <w:jc w:val="both"/>
        <w:rPr>
          <w:rFonts w:cs="Times New Roman"/>
          <w:szCs w:val="28"/>
        </w:rPr>
      </w:pPr>
    </w:p>
    <w:p w:rsidR="005D6255" w:rsidRPr="00F70141" w:rsidRDefault="005D6255" w:rsidP="005D6255">
      <w:pPr>
        <w:pStyle w:val="NoSpacing"/>
        <w:jc w:val="both"/>
        <w:rPr>
          <w:rFonts w:cs="Times New Roman"/>
          <w:sz w:val="26"/>
          <w:szCs w:val="28"/>
        </w:rPr>
      </w:pPr>
      <w:r w:rsidRPr="00F70141">
        <w:rPr>
          <w:rFonts w:cs="Times New Roman"/>
          <w:sz w:val="26"/>
          <w:szCs w:val="28"/>
        </w:rPr>
        <w:t>Dear Sir,</w:t>
      </w:r>
    </w:p>
    <w:p w:rsidR="005D6255" w:rsidRPr="00F70141" w:rsidRDefault="005D6255" w:rsidP="005D6255">
      <w:pPr>
        <w:pStyle w:val="NoSpacing"/>
        <w:jc w:val="both"/>
        <w:rPr>
          <w:rFonts w:cs="Times New Roman"/>
          <w:sz w:val="26"/>
          <w:szCs w:val="28"/>
        </w:rPr>
      </w:pPr>
    </w:p>
    <w:p w:rsidR="005D6255" w:rsidRDefault="005D6255" w:rsidP="005D6255">
      <w:pPr>
        <w:pStyle w:val="NoSpacing"/>
        <w:spacing w:line="360" w:lineRule="auto"/>
        <w:jc w:val="both"/>
        <w:rPr>
          <w:rFonts w:cs="Times New Roman"/>
          <w:sz w:val="26"/>
          <w:szCs w:val="28"/>
        </w:rPr>
      </w:pPr>
      <w:r w:rsidRPr="00F70141">
        <w:rPr>
          <w:rFonts w:cs="Times New Roman"/>
          <w:sz w:val="26"/>
          <w:szCs w:val="28"/>
        </w:rPr>
        <w:t xml:space="preserve">This is in </w:t>
      </w:r>
      <w:r w:rsidR="00FE0FB9">
        <w:rPr>
          <w:rFonts w:cs="Times New Roman"/>
          <w:sz w:val="26"/>
          <w:szCs w:val="28"/>
        </w:rPr>
        <w:t xml:space="preserve">reference to </w:t>
      </w:r>
      <w:r w:rsidR="00B93437">
        <w:rPr>
          <w:rFonts w:cs="Times New Roman"/>
          <w:sz w:val="26"/>
          <w:szCs w:val="28"/>
        </w:rPr>
        <w:t>our Expression of Interest</w:t>
      </w:r>
      <w:r w:rsidR="00977024">
        <w:rPr>
          <w:rFonts w:cs="Times New Roman"/>
          <w:sz w:val="26"/>
          <w:szCs w:val="28"/>
        </w:rPr>
        <w:t>,</w:t>
      </w:r>
      <w:r w:rsidRPr="00F70141">
        <w:rPr>
          <w:rFonts w:cs="Times New Roman"/>
          <w:sz w:val="26"/>
          <w:szCs w:val="28"/>
        </w:rPr>
        <w:t xml:space="preserve"> wherein you have informed us </w:t>
      </w:r>
      <w:r w:rsidR="00BA3BFF">
        <w:rPr>
          <w:rFonts w:cs="Times New Roman"/>
          <w:sz w:val="26"/>
          <w:szCs w:val="28"/>
        </w:rPr>
        <w:t xml:space="preserve">to provide </w:t>
      </w:r>
      <w:r w:rsidR="00977024">
        <w:rPr>
          <w:rFonts w:cs="Times New Roman"/>
          <w:sz w:val="26"/>
          <w:szCs w:val="28"/>
        </w:rPr>
        <w:t xml:space="preserve">necessary information </w:t>
      </w:r>
      <w:r w:rsidR="00FE0FB9">
        <w:rPr>
          <w:rFonts w:cs="Times New Roman"/>
          <w:sz w:val="26"/>
          <w:szCs w:val="28"/>
        </w:rPr>
        <w:t xml:space="preserve">in accordance with section </w:t>
      </w:r>
      <w:proofErr w:type="gramStart"/>
      <w:r w:rsidR="00FE0FB9">
        <w:rPr>
          <w:rFonts w:cs="Times New Roman"/>
          <w:sz w:val="26"/>
          <w:szCs w:val="28"/>
        </w:rPr>
        <w:t>29A(</w:t>
      </w:r>
      <w:proofErr w:type="gramEnd"/>
      <w:r w:rsidR="00FE0FB9">
        <w:rPr>
          <w:rFonts w:cs="Times New Roman"/>
          <w:sz w:val="26"/>
          <w:szCs w:val="28"/>
        </w:rPr>
        <w:t xml:space="preserve">a) to (j) of IBC 2016, under an affidavit. The necessary affidavits containing the requisite information </w:t>
      </w:r>
      <w:r w:rsidR="00A16C59">
        <w:rPr>
          <w:rFonts w:cs="Times New Roman"/>
          <w:sz w:val="26"/>
          <w:szCs w:val="28"/>
        </w:rPr>
        <w:t>w.r.t. the Resolution Applicant/</w:t>
      </w:r>
      <w:r w:rsidR="00FE0FB9">
        <w:rPr>
          <w:rFonts w:cs="Times New Roman"/>
          <w:sz w:val="26"/>
          <w:szCs w:val="28"/>
        </w:rPr>
        <w:t>Joint Applicant, and the Promoters, persons in management or contro</w:t>
      </w:r>
      <w:r w:rsidR="00416A84">
        <w:rPr>
          <w:rFonts w:cs="Times New Roman"/>
          <w:sz w:val="26"/>
          <w:szCs w:val="28"/>
        </w:rPr>
        <w:t xml:space="preserve">l of the Applicant, are as </w:t>
      </w:r>
      <w:r w:rsidR="005F0548">
        <w:rPr>
          <w:rFonts w:cs="Times New Roman"/>
          <w:sz w:val="26"/>
          <w:szCs w:val="28"/>
        </w:rPr>
        <w:t>follows: -</w:t>
      </w:r>
    </w:p>
    <w:p w:rsidR="00D17FE9" w:rsidRPr="00D17FE9" w:rsidRDefault="00D17FE9" w:rsidP="005D6255">
      <w:pPr>
        <w:pStyle w:val="NoSpacing"/>
        <w:jc w:val="both"/>
        <w:rPr>
          <w:rFonts w:cs="Times New Roman"/>
          <w:b/>
          <w:szCs w:val="28"/>
        </w:rPr>
      </w:pPr>
    </w:p>
    <w:p w:rsidR="007C74B5" w:rsidRPr="005D6255" w:rsidRDefault="005D6255" w:rsidP="005D6255">
      <w:pPr>
        <w:pStyle w:val="NoSpacing"/>
        <w:spacing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I.</w:t>
      </w:r>
      <w:r>
        <w:rPr>
          <w:rFonts w:cs="Times New Roman"/>
          <w:b/>
          <w:szCs w:val="28"/>
        </w:rPr>
        <w:tab/>
      </w:r>
      <w:r w:rsidRPr="005D6255">
        <w:rPr>
          <w:rFonts w:cs="Times New Roman"/>
          <w:b/>
          <w:szCs w:val="28"/>
        </w:rPr>
        <w:t>Details of Resolution Applicant are herein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045"/>
        <w:gridCol w:w="2991"/>
      </w:tblGrid>
      <w:tr w:rsidR="00F70141" w:rsidRPr="00453731" w:rsidTr="00F70141">
        <w:tc>
          <w:tcPr>
            <w:tcW w:w="918" w:type="dxa"/>
          </w:tcPr>
          <w:p w:rsidR="00F70141" w:rsidRPr="00453731" w:rsidRDefault="00F70141" w:rsidP="00FE36FF">
            <w:pPr>
              <w:jc w:val="center"/>
              <w:rPr>
                <w:b/>
                <w:sz w:val="26"/>
              </w:rPr>
            </w:pPr>
            <w:r w:rsidRPr="00453731">
              <w:rPr>
                <w:b/>
                <w:sz w:val="26"/>
              </w:rPr>
              <w:t>S. No.</w:t>
            </w:r>
          </w:p>
        </w:tc>
        <w:tc>
          <w:tcPr>
            <w:tcW w:w="5045" w:type="dxa"/>
          </w:tcPr>
          <w:p w:rsidR="00F70141" w:rsidRPr="00453731" w:rsidRDefault="00F70141" w:rsidP="00FE36FF">
            <w:pPr>
              <w:jc w:val="center"/>
              <w:rPr>
                <w:b/>
                <w:sz w:val="26"/>
              </w:rPr>
            </w:pPr>
            <w:r w:rsidRPr="00453731">
              <w:rPr>
                <w:b/>
                <w:sz w:val="26"/>
              </w:rPr>
              <w:t>Particulars</w:t>
            </w:r>
          </w:p>
        </w:tc>
        <w:tc>
          <w:tcPr>
            <w:tcW w:w="2991" w:type="dxa"/>
          </w:tcPr>
          <w:p w:rsidR="00F70141" w:rsidRPr="00453731" w:rsidRDefault="00F70141" w:rsidP="00FE36FF">
            <w:pPr>
              <w:jc w:val="center"/>
              <w:rPr>
                <w:b/>
                <w:sz w:val="26"/>
              </w:rPr>
            </w:pPr>
            <w:r w:rsidRPr="00453731">
              <w:rPr>
                <w:b/>
                <w:sz w:val="26"/>
              </w:rPr>
              <w:t>Status</w:t>
            </w:r>
          </w:p>
          <w:p w:rsidR="00F70141" w:rsidRPr="00453731" w:rsidRDefault="00F70141" w:rsidP="00FE36FF">
            <w:pPr>
              <w:jc w:val="center"/>
              <w:rPr>
                <w:b/>
                <w:sz w:val="26"/>
              </w:rPr>
            </w:pPr>
          </w:p>
        </w:tc>
      </w:tr>
      <w:tr w:rsidR="00F70141" w:rsidRPr="00453731" w:rsidTr="00F70141">
        <w:tc>
          <w:tcPr>
            <w:tcW w:w="918" w:type="dxa"/>
          </w:tcPr>
          <w:p w:rsidR="00F70141" w:rsidRPr="00453731" w:rsidRDefault="00FE523F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F70141" w:rsidRPr="00453731">
              <w:rPr>
                <w:sz w:val="26"/>
              </w:rPr>
              <w:t>)</w:t>
            </w:r>
          </w:p>
        </w:tc>
        <w:tc>
          <w:tcPr>
            <w:tcW w:w="5045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  <w:r w:rsidRPr="00453731">
              <w:rPr>
                <w:sz w:val="26"/>
              </w:rPr>
              <w:t>Name</w:t>
            </w:r>
          </w:p>
        </w:tc>
        <w:tc>
          <w:tcPr>
            <w:tcW w:w="2991" w:type="dxa"/>
          </w:tcPr>
          <w:p w:rsidR="005C7AE8" w:rsidRPr="00453731" w:rsidRDefault="005C7AE8" w:rsidP="00FE36FF">
            <w:pPr>
              <w:jc w:val="both"/>
              <w:rPr>
                <w:sz w:val="26"/>
              </w:rPr>
            </w:pPr>
          </w:p>
        </w:tc>
      </w:tr>
      <w:tr w:rsidR="00F70141" w:rsidRPr="00453731" w:rsidTr="00F70141">
        <w:tc>
          <w:tcPr>
            <w:tcW w:w="918" w:type="dxa"/>
          </w:tcPr>
          <w:p w:rsidR="00F70141" w:rsidRPr="00453731" w:rsidRDefault="00FE523F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70141" w:rsidRPr="00453731">
              <w:rPr>
                <w:sz w:val="26"/>
              </w:rPr>
              <w:t>)</w:t>
            </w:r>
          </w:p>
        </w:tc>
        <w:tc>
          <w:tcPr>
            <w:tcW w:w="5045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  <w:r w:rsidRPr="00453731">
              <w:rPr>
                <w:sz w:val="26"/>
              </w:rPr>
              <w:t>Address</w:t>
            </w:r>
          </w:p>
        </w:tc>
        <w:tc>
          <w:tcPr>
            <w:tcW w:w="2991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</w:p>
        </w:tc>
      </w:tr>
      <w:tr w:rsidR="00F70141" w:rsidRPr="00453731" w:rsidTr="00F70141">
        <w:tc>
          <w:tcPr>
            <w:tcW w:w="918" w:type="dxa"/>
          </w:tcPr>
          <w:p w:rsidR="00F70141" w:rsidRPr="00453731" w:rsidRDefault="00FE523F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F70141" w:rsidRPr="00453731">
              <w:rPr>
                <w:sz w:val="26"/>
              </w:rPr>
              <w:t>)</w:t>
            </w:r>
          </w:p>
        </w:tc>
        <w:tc>
          <w:tcPr>
            <w:tcW w:w="5045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  <w:r w:rsidRPr="00453731">
              <w:rPr>
                <w:sz w:val="26"/>
              </w:rPr>
              <w:t>Relationship</w:t>
            </w:r>
          </w:p>
        </w:tc>
        <w:tc>
          <w:tcPr>
            <w:tcW w:w="2991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</w:p>
        </w:tc>
      </w:tr>
      <w:tr w:rsidR="00F70141" w:rsidRPr="00453731" w:rsidTr="00F70141">
        <w:tc>
          <w:tcPr>
            <w:tcW w:w="918" w:type="dxa"/>
          </w:tcPr>
          <w:p w:rsidR="00F70141" w:rsidRPr="00453731" w:rsidRDefault="00FE523F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F70141" w:rsidRPr="00453731">
              <w:rPr>
                <w:sz w:val="26"/>
              </w:rPr>
              <w:t>)</w:t>
            </w:r>
          </w:p>
        </w:tc>
        <w:tc>
          <w:tcPr>
            <w:tcW w:w="5045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  <w:r w:rsidRPr="00453731">
              <w:rPr>
                <w:sz w:val="26"/>
              </w:rPr>
              <w:t>Identity</w:t>
            </w:r>
          </w:p>
        </w:tc>
        <w:tc>
          <w:tcPr>
            <w:tcW w:w="2991" w:type="dxa"/>
          </w:tcPr>
          <w:p w:rsidR="005C7AE8" w:rsidRPr="00453731" w:rsidRDefault="005C7AE8" w:rsidP="00C5448A">
            <w:pPr>
              <w:jc w:val="both"/>
              <w:rPr>
                <w:sz w:val="26"/>
              </w:rPr>
            </w:pPr>
          </w:p>
        </w:tc>
      </w:tr>
      <w:tr w:rsidR="0015139F" w:rsidRPr="00453731" w:rsidTr="00F70141">
        <w:tc>
          <w:tcPr>
            <w:tcW w:w="918" w:type="dxa"/>
          </w:tcPr>
          <w:p w:rsidR="0015139F" w:rsidRPr="00453731" w:rsidRDefault="00FE523F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5)</w:t>
            </w:r>
          </w:p>
        </w:tc>
        <w:tc>
          <w:tcPr>
            <w:tcW w:w="5045" w:type="dxa"/>
          </w:tcPr>
          <w:p w:rsidR="0015139F" w:rsidRPr="00453731" w:rsidRDefault="0015139F" w:rsidP="00FE36FF">
            <w:pPr>
              <w:jc w:val="both"/>
              <w:rPr>
                <w:sz w:val="26"/>
              </w:rPr>
            </w:pPr>
            <w:r>
              <w:rPr>
                <w:sz w:val="26"/>
              </w:rPr>
              <w:t>Whether resolution applicant is a financial entity</w:t>
            </w:r>
          </w:p>
        </w:tc>
        <w:tc>
          <w:tcPr>
            <w:tcW w:w="2991" w:type="dxa"/>
          </w:tcPr>
          <w:p w:rsidR="0015139F" w:rsidRDefault="0015139F" w:rsidP="00FE36FF">
            <w:pPr>
              <w:jc w:val="both"/>
              <w:rPr>
                <w:sz w:val="26"/>
              </w:rPr>
            </w:pPr>
          </w:p>
        </w:tc>
      </w:tr>
      <w:tr w:rsidR="00D515F9" w:rsidRPr="00453731" w:rsidTr="00F70141">
        <w:tc>
          <w:tcPr>
            <w:tcW w:w="918" w:type="dxa"/>
          </w:tcPr>
          <w:p w:rsidR="00D515F9" w:rsidRDefault="00D515F9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045" w:type="dxa"/>
          </w:tcPr>
          <w:p w:rsidR="00D515F9" w:rsidRDefault="00D515F9" w:rsidP="00FE36FF">
            <w:pPr>
              <w:jc w:val="both"/>
              <w:rPr>
                <w:sz w:val="26"/>
              </w:rPr>
            </w:pPr>
            <w:r>
              <w:rPr>
                <w:sz w:val="26"/>
              </w:rPr>
              <w:t>Whether resolution applicant is a Micro,</w:t>
            </w:r>
            <w:r w:rsidR="00BC1E18">
              <w:rPr>
                <w:sz w:val="26"/>
              </w:rPr>
              <w:t xml:space="preserve"> </w:t>
            </w:r>
            <w:r>
              <w:rPr>
                <w:sz w:val="26"/>
              </w:rPr>
              <w:t>Small &amp; Medium enterprise</w:t>
            </w:r>
          </w:p>
        </w:tc>
        <w:tc>
          <w:tcPr>
            <w:tcW w:w="2991" w:type="dxa"/>
          </w:tcPr>
          <w:p w:rsidR="00D515F9" w:rsidRDefault="00D515F9" w:rsidP="00FE36FF">
            <w:pPr>
              <w:jc w:val="both"/>
              <w:rPr>
                <w:sz w:val="26"/>
              </w:rPr>
            </w:pPr>
          </w:p>
        </w:tc>
      </w:tr>
      <w:tr w:rsidR="00F70141" w:rsidRPr="00453731" w:rsidTr="00F70141">
        <w:tc>
          <w:tcPr>
            <w:tcW w:w="918" w:type="dxa"/>
          </w:tcPr>
          <w:p w:rsidR="00F70141" w:rsidRPr="00453731" w:rsidRDefault="00D515F9" w:rsidP="00FE523F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="00FE523F">
              <w:rPr>
                <w:sz w:val="26"/>
              </w:rPr>
              <w:t xml:space="preserve"> a</w:t>
            </w:r>
            <w:r w:rsidR="00F70141" w:rsidRPr="00453731">
              <w:rPr>
                <w:sz w:val="26"/>
              </w:rPr>
              <w:t>)</w:t>
            </w:r>
          </w:p>
        </w:tc>
        <w:tc>
          <w:tcPr>
            <w:tcW w:w="5045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  <w:r w:rsidRPr="00453731">
              <w:rPr>
                <w:sz w:val="26"/>
              </w:rPr>
              <w:t>Is an undischarged insolvent</w:t>
            </w:r>
          </w:p>
        </w:tc>
        <w:tc>
          <w:tcPr>
            <w:tcW w:w="2991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</w:p>
        </w:tc>
      </w:tr>
      <w:tr w:rsidR="00F70141" w:rsidRPr="00453731" w:rsidTr="00F70141">
        <w:tc>
          <w:tcPr>
            <w:tcW w:w="918" w:type="dxa"/>
          </w:tcPr>
          <w:p w:rsidR="00F70141" w:rsidRPr="00453731" w:rsidRDefault="00FE523F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b</w:t>
            </w:r>
            <w:r w:rsidR="00F70141" w:rsidRPr="00453731">
              <w:rPr>
                <w:sz w:val="26"/>
              </w:rPr>
              <w:t>)</w:t>
            </w:r>
          </w:p>
        </w:tc>
        <w:tc>
          <w:tcPr>
            <w:tcW w:w="5045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  <w:r w:rsidRPr="00453731">
              <w:rPr>
                <w:sz w:val="26"/>
              </w:rPr>
              <w:t>Has been identified as a wilful defaulter in accordance with the guidelines of the Reserve Bank of India issued under the Banking Regulation Act, 1949</w:t>
            </w:r>
          </w:p>
        </w:tc>
        <w:tc>
          <w:tcPr>
            <w:tcW w:w="2991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</w:p>
        </w:tc>
      </w:tr>
      <w:tr w:rsidR="00F70141" w:rsidRPr="00453731" w:rsidTr="00F70141">
        <w:tc>
          <w:tcPr>
            <w:tcW w:w="918" w:type="dxa"/>
          </w:tcPr>
          <w:p w:rsidR="00F70141" w:rsidRPr="00453731" w:rsidRDefault="00FE523F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  <w:r w:rsidR="00F70141" w:rsidRPr="00453731">
              <w:rPr>
                <w:sz w:val="26"/>
              </w:rPr>
              <w:t>)</w:t>
            </w:r>
          </w:p>
        </w:tc>
        <w:tc>
          <w:tcPr>
            <w:tcW w:w="5045" w:type="dxa"/>
          </w:tcPr>
          <w:p w:rsidR="00065E5F" w:rsidRPr="00065E5F" w:rsidRDefault="00476B23" w:rsidP="00E97398">
            <w:pPr>
              <w:jc w:val="both"/>
              <w:rPr>
                <w:sz w:val="26"/>
              </w:rPr>
            </w:pPr>
            <w:r w:rsidRPr="00476B23">
              <w:rPr>
                <w:sz w:val="26"/>
                <w:szCs w:val="26"/>
              </w:rPr>
              <w:t xml:space="preserve">an account of a corporate debtor under the management or control of such person or of whom such person is a promoter, classified as non-performing asset in accordance with the guidelines of the Reserve Bank of India issued under the Banking Regulation Act, </w:t>
            </w:r>
            <w:r w:rsidRPr="00476B23">
              <w:rPr>
                <w:sz w:val="26"/>
                <w:szCs w:val="26"/>
              </w:rPr>
              <w:lastRenderedPageBreak/>
              <w:t>1949 (10 of 1949) or the guidelines of a financial sector regulator issued under any other l</w:t>
            </w:r>
            <w:r>
              <w:rPr>
                <w:sz w:val="26"/>
                <w:szCs w:val="26"/>
              </w:rPr>
              <w:t>aw for the time being in force,</w:t>
            </w:r>
            <w:r w:rsidRPr="00476B23">
              <w:rPr>
                <w:sz w:val="26"/>
                <w:szCs w:val="26"/>
              </w:rPr>
              <w:t xml:space="preserve"> and at least a period of one year has lapsed from the date of such classification till the date of commencement of the corporate insolvency resolution process of the corporate debtor</w:t>
            </w:r>
            <w:r>
              <w:rPr>
                <w:sz w:val="26"/>
                <w:szCs w:val="26"/>
              </w:rPr>
              <w:t xml:space="preserve"> </w:t>
            </w:r>
            <w:r w:rsidR="00F70141" w:rsidRPr="00453731">
              <w:rPr>
                <w:sz w:val="26"/>
              </w:rPr>
              <w:t xml:space="preserve">and who has failed to make the payment of all overdue amounts with interest thereon and charges relating to non-performing asset </w:t>
            </w:r>
            <w:r w:rsidR="00A16C59">
              <w:rPr>
                <w:sz w:val="26"/>
              </w:rPr>
              <w:t xml:space="preserve">at the time of submission of </w:t>
            </w:r>
            <w:r w:rsidR="00F70141" w:rsidRPr="00453731">
              <w:rPr>
                <w:sz w:val="26"/>
              </w:rPr>
              <w:t>resolution plan;</w:t>
            </w:r>
          </w:p>
        </w:tc>
        <w:tc>
          <w:tcPr>
            <w:tcW w:w="2991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</w:p>
        </w:tc>
      </w:tr>
      <w:tr w:rsidR="00F70141" w:rsidRPr="00453731" w:rsidTr="00F70141">
        <w:tc>
          <w:tcPr>
            <w:tcW w:w="918" w:type="dxa"/>
          </w:tcPr>
          <w:p w:rsidR="00F70141" w:rsidRPr="00453731" w:rsidRDefault="00FE523F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d</w:t>
            </w:r>
            <w:r w:rsidR="00F70141" w:rsidRPr="00453731">
              <w:rPr>
                <w:sz w:val="26"/>
              </w:rPr>
              <w:t>)</w:t>
            </w:r>
          </w:p>
        </w:tc>
        <w:tc>
          <w:tcPr>
            <w:tcW w:w="5045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  <w:r w:rsidRPr="00453731">
              <w:rPr>
                <w:sz w:val="26"/>
              </w:rPr>
              <w:t xml:space="preserve">Has been convicted for any offence punishable with imprisonment for two years or more; or </w:t>
            </w:r>
          </w:p>
        </w:tc>
        <w:tc>
          <w:tcPr>
            <w:tcW w:w="2991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</w:p>
        </w:tc>
      </w:tr>
      <w:tr w:rsidR="00F70141" w:rsidRPr="00453731" w:rsidTr="00F70141">
        <w:tc>
          <w:tcPr>
            <w:tcW w:w="918" w:type="dxa"/>
          </w:tcPr>
          <w:p w:rsidR="00F70141" w:rsidRPr="00453731" w:rsidRDefault="00FE523F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F70141" w:rsidRPr="00453731">
              <w:rPr>
                <w:sz w:val="26"/>
              </w:rPr>
              <w:t>)</w:t>
            </w:r>
          </w:p>
        </w:tc>
        <w:tc>
          <w:tcPr>
            <w:tcW w:w="5045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  <w:r w:rsidRPr="00453731">
              <w:rPr>
                <w:sz w:val="26"/>
              </w:rPr>
              <w:t>Has been disqualified to act as a director under the Companies Act, 2013;</w:t>
            </w:r>
          </w:p>
        </w:tc>
        <w:tc>
          <w:tcPr>
            <w:tcW w:w="2991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</w:p>
        </w:tc>
      </w:tr>
      <w:tr w:rsidR="00F70141" w:rsidRPr="00453731" w:rsidTr="00F70141">
        <w:tc>
          <w:tcPr>
            <w:tcW w:w="918" w:type="dxa"/>
          </w:tcPr>
          <w:p w:rsidR="00F70141" w:rsidRPr="00453731" w:rsidRDefault="00FE523F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f</w:t>
            </w:r>
            <w:r w:rsidR="00F70141" w:rsidRPr="00453731">
              <w:rPr>
                <w:sz w:val="26"/>
              </w:rPr>
              <w:t>)</w:t>
            </w:r>
          </w:p>
        </w:tc>
        <w:tc>
          <w:tcPr>
            <w:tcW w:w="5045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  <w:r w:rsidRPr="00453731">
              <w:rPr>
                <w:sz w:val="26"/>
              </w:rPr>
              <w:t>Has been prohi</w:t>
            </w:r>
            <w:r w:rsidR="00853B09">
              <w:rPr>
                <w:sz w:val="26"/>
              </w:rPr>
              <w:t>bited by the Securities and E</w:t>
            </w:r>
            <w:r w:rsidRPr="00453731">
              <w:rPr>
                <w:sz w:val="26"/>
              </w:rPr>
              <w:t>xchange Board of India from trading in securities or accessing the securities markets;</w:t>
            </w:r>
          </w:p>
        </w:tc>
        <w:tc>
          <w:tcPr>
            <w:tcW w:w="2991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</w:p>
        </w:tc>
      </w:tr>
      <w:tr w:rsidR="00F70141" w:rsidRPr="00453731" w:rsidTr="00F70141">
        <w:tc>
          <w:tcPr>
            <w:tcW w:w="918" w:type="dxa"/>
          </w:tcPr>
          <w:p w:rsidR="00F70141" w:rsidRPr="00453731" w:rsidRDefault="00FE523F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g</w:t>
            </w:r>
            <w:r w:rsidR="00F70141" w:rsidRPr="00453731">
              <w:rPr>
                <w:sz w:val="26"/>
              </w:rPr>
              <w:t>)</w:t>
            </w:r>
          </w:p>
        </w:tc>
        <w:tc>
          <w:tcPr>
            <w:tcW w:w="5045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  <w:r w:rsidRPr="00453731">
              <w:rPr>
                <w:sz w:val="26"/>
              </w:rPr>
              <w:t>Has indulged in preferential transaction or undervalued transaction</w:t>
            </w:r>
            <w:r w:rsidR="0015139F">
              <w:rPr>
                <w:sz w:val="26"/>
              </w:rPr>
              <w:t xml:space="preserve"> or extortionate transaction</w:t>
            </w:r>
            <w:r w:rsidRPr="00453731">
              <w:rPr>
                <w:sz w:val="26"/>
              </w:rPr>
              <w:t xml:space="preserve"> or fraudulent transaction in respect of which an order has been made by the Adjudicating Authority under this Code;</w:t>
            </w:r>
          </w:p>
        </w:tc>
        <w:tc>
          <w:tcPr>
            <w:tcW w:w="2991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</w:p>
        </w:tc>
      </w:tr>
      <w:tr w:rsidR="00F70141" w:rsidRPr="00453731" w:rsidTr="00F70141">
        <w:tc>
          <w:tcPr>
            <w:tcW w:w="918" w:type="dxa"/>
          </w:tcPr>
          <w:p w:rsidR="00F70141" w:rsidRPr="00453731" w:rsidRDefault="00FE523F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h</w:t>
            </w:r>
            <w:r w:rsidR="00F70141" w:rsidRPr="00453731">
              <w:rPr>
                <w:sz w:val="26"/>
              </w:rPr>
              <w:t>)</w:t>
            </w:r>
          </w:p>
        </w:tc>
        <w:tc>
          <w:tcPr>
            <w:tcW w:w="5045" w:type="dxa"/>
          </w:tcPr>
          <w:p w:rsidR="00F70141" w:rsidRPr="00453731" w:rsidRDefault="00FE523F" w:rsidP="00FE523F">
            <w:pPr>
              <w:jc w:val="both"/>
              <w:rPr>
                <w:sz w:val="26"/>
              </w:rPr>
            </w:pPr>
            <w:r>
              <w:rPr>
                <w:sz w:val="26"/>
              </w:rPr>
              <w:t>Has executed a G</w:t>
            </w:r>
            <w:r w:rsidR="00F70141" w:rsidRPr="00453731">
              <w:rPr>
                <w:sz w:val="26"/>
              </w:rPr>
              <w:t xml:space="preserve">uarantee in favour of a creditor, in respect of a corporate debtor </w:t>
            </w:r>
            <w:r>
              <w:rPr>
                <w:sz w:val="26"/>
              </w:rPr>
              <w:t xml:space="preserve">against which an application for insolvency resolution has been admitted </w:t>
            </w:r>
            <w:r w:rsidR="00F70141" w:rsidRPr="00453731">
              <w:rPr>
                <w:sz w:val="26"/>
              </w:rPr>
              <w:t>under this Code</w:t>
            </w:r>
            <w:r>
              <w:rPr>
                <w:sz w:val="26"/>
              </w:rPr>
              <w:t xml:space="preserve"> and such guarantee has been invoked by the creditor and remains unpaid in full or part</w:t>
            </w:r>
            <w:r w:rsidR="00F70141" w:rsidRPr="00453731">
              <w:rPr>
                <w:sz w:val="26"/>
              </w:rPr>
              <w:t>;</w:t>
            </w:r>
          </w:p>
        </w:tc>
        <w:tc>
          <w:tcPr>
            <w:tcW w:w="2991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</w:p>
        </w:tc>
      </w:tr>
      <w:tr w:rsidR="009D6758" w:rsidRPr="00453731" w:rsidTr="00F70141">
        <w:tc>
          <w:tcPr>
            <w:tcW w:w="918" w:type="dxa"/>
          </w:tcPr>
          <w:p w:rsidR="009D6758" w:rsidRDefault="009D6758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i)</w:t>
            </w:r>
          </w:p>
        </w:tc>
        <w:tc>
          <w:tcPr>
            <w:tcW w:w="5045" w:type="dxa"/>
          </w:tcPr>
          <w:p w:rsidR="009D6758" w:rsidRDefault="009D6758" w:rsidP="00FE523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Is subject to any disability , corresponding to clauses (a) to (h), under any law in a Jurisdiction outside India or </w:t>
            </w:r>
          </w:p>
        </w:tc>
        <w:tc>
          <w:tcPr>
            <w:tcW w:w="2991" w:type="dxa"/>
          </w:tcPr>
          <w:p w:rsidR="009D6758" w:rsidRDefault="009D6758" w:rsidP="00FE36FF">
            <w:pPr>
              <w:jc w:val="both"/>
              <w:rPr>
                <w:sz w:val="26"/>
              </w:rPr>
            </w:pPr>
          </w:p>
        </w:tc>
      </w:tr>
      <w:tr w:rsidR="00F70141" w:rsidRPr="00453731" w:rsidTr="00F70141">
        <w:tc>
          <w:tcPr>
            <w:tcW w:w="918" w:type="dxa"/>
          </w:tcPr>
          <w:p w:rsidR="00F70141" w:rsidRPr="00453731" w:rsidRDefault="009D6758" w:rsidP="00FE36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j</w:t>
            </w:r>
            <w:r w:rsidR="00F70141" w:rsidRPr="00453731">
              <w:rPr>
                <w:sz w:val="26"/>
              </w:rPr>
              <w:t>)</w:t>
            </w:r>
          </w:p>
        </w:tc>
        <w:tc>
          <w:tcPr>
            <w:tcW w:w="5045" w:type="dxa"/>
          </w:tcPr>
          <w:p w:rsidR="00F70141" w:rsidRPr="00453731" w:rsidRDefault="00F70141" w:rsidP="00FE36FF">
            <w:pPr>
              <w:jc w:val="both"/>
              <w:rPr>
                <w:sz w:val="26"/>
              </w:rPr>
            </w:pPr>
            <w:r w:rsidRPr="00453731">
              <w:rPr>
                <w:sz w:val="26"/>
              </w:rPr>
              <w:t xml:space="preserve">Where any connected person in respect of such person meets any of the </w:t>
            </w:r>
            <w:r w:rsidR="00555725">
              <w:rPr>
                <w:sz w:val="26"/>
              </w:rPr>
              <w:t>criteri</w:t>
            </w:r>
            <w:r w:rsidR="00065E5F">
              <w:rPr>
                <w:sz w:val="26"/>
              </w:rPr>
              <w:t xml:space="preserve">a specified in clauses </w:t>
            </w:r>
            <w:r w:rsidR="009D6758">
              <w:rPr>
                <w:sz w:val="26"/>
              </w:rPr>
              <w:t>(a</w:t>
            </w:r>
            <w:r w:rsidR="00555725">
              <w:rPr>
                <w:sz w:val="26"/>
              </w:rPr>
              <w:t>) to (</w:t>
            </w:r>
            <w:r w:rsidR="009D6758">
              <w:rPr>
                <w:sz w:val="26"/>
              </w:rPr>
              <w:t>i</w:t>
            </w:r>
            <w:r w:rsidRPr="00453731">
              <w:rPr>
                <w:sz w:val="26"/>
              </w:rPr>
              <w:t>)</w:t>
            </w:r>
          </w:p>
          <w:p w:rsidR="00F70141" w:rsidRPr="00453731" w:rsidRDefault="00F70141" w:rsidP="00FE36FF">
            <w:pPr>
              <w:jc w:val="both"/>
              <w:rPr>
                <w:sz w:val="26"/>
              </w:rPr>
            </w:pPr>
            <w:r w:rsidRPr="00453731">
              <w:rPr>
                <w:sz w:val="26"/>
              </w:rPr>
              <w:t>Explanation- For the purposes of this clause, the expression “connected person” means-</w:t>
            </w:r>
          </w:p>
          <w:p w:rsidR="00F70141" w:rsidRPr="00453731" w:rsidRDefault="00F70141" w:rsidP="00FE36FF">
            <w:pPr>
              <w:pStyle w:val="ListParagraph"/>
              <w:numPr>
                <w:ilvl w:val="0"/>
                <w:numId w:val="1"/>
              </w:numPr>
              <w:ind w:left="361"/>
              <w:jc w:val="both"/>
              <w:rPr>
                <w:sz w:val="26"/>
              </w:rPr>
            </w:pPr>
            <w:r w:rsidRPr="00453731">
              <w:rPr>
                <w:sz w:val="26"/>
              </w:rPr>
              <w:t xml:space="preserve">any person who is promoter or in the management or control of the resolution applicant; or </w:t>
            </w:r>
          </w:p>
          <w:p w:rsidR="00F70141" w:rsidRPr="00453731" w:rsidRDefault="00F70141" w:rsidP="00FE36FF">
            <w:pPr>
              <w:pStyle w:val="ListParagraph"/>
              <w:numPr>
                <w:ilvl w:val="0"/>
                <w:numId w:val="1"/>
              </w:numPr>
              <w:ind w:left="361"/>
              <w:jc w:val="both"/>
              <w:rPr>
                <w:sz w:val="26"/>
              </w:rPr>
            </w:pPr>
            <w:r w:rsidRPr="00453731">
              <w:rPr>
                <w:sz w:val="26"/>
              </w:rPr>
              <w:t>any person who shall be the promoter or in management or control of the business of the corporate debtor during the implementation of the resolution plan; or</w:t>
            </w:r>
          </w:p>
          <w:p w:rsidR="00F70141" w:rsidRPr="00453731" w:rsidRDefault="00F70141" w:rsidP="00FE36FF">
            <w:pPr>
              <w:pStyle w:val="ListParagraph"/>
              <w:numPr>
                <w:ilvl w:val="0"/>
                <w:numId w:val="1"/>
              </w:numPr>
              <w:ind w:left="361" w:hanging="533"/>
              <w:jc w:val="both"/>
              <w:rPr>
                <w:sz w:val="26"/>
              </w:rPr>
            </w:pPr>
            <w:r w:rsidRPr="00453731">
              <w:rPr>
                <w:sz w:val="26"/>
              </w:rPr>
              <w:t>the holding company, subsidiar</w:t>
            </w:r>
            <w:r w:rsidR="009D6758">
              <w:rPr>
                <w:sz w:val="26"/>
              </w:rPr>
              <w:t xml:space="preserve">y </w:t>
            </w:r>
            <w:r w:rsidR="009D6758">
              <w:rPr>
                <w:sz w:val="26"/>
              </w:rPr>
              <w:lastRenderedPageBreak/>
              <w:t>company, associate company or</w:t>
            </w:r>
            <w:r w:rsidRPr="00453731">
              <w:rPr>
                <w:sz w:val="26"/>
              </w:rPr>
              <w:t xml:space="preserve"> related party of a person referred to in clauses (i) and (ii) </w:t>
            </w:r>
          </w:p>
        </w:tc>
        <w:tc>
          <w:tcPr>
            <w:tcW w:w="2991" w:type="dxa"/>
          </w:tcPr>
          <w:p w:rsidR="00F70141" w:rsidRPr="00453731" w:rsidRDefault="00F70141" w:rsidP="00F70141">
            <w:pPr>
              <w:jc w:val="both"/>
              <w:rPr>
                <w:sz w:val="26"/>
              </w:rPr>
            </w:pPr>
          </w:p>
        </w:tc>
      </w:tr>
    </w:tbl>
    <w:p w:rsidR="005D6255" w:rsidRDefault="005D6255" w:rsidP="005D6255">
      <w:pPr>
        <w:pStyle w:val="NoSpacing"/>
        <w:jc w:val="both"/>
        <w:rPr>
          <w:rFonts w:cs="Times New Roman"/>
          <w:szCs w:val="28"/>
        </w:rPr>
      </w:pPr>
    </w:p>
    <w:p w:rsidR="00361FE5" w:rsidRDefault="00361FE5" w:rsidP="005D6255">
      <w:pPr>
        <w:pStyle w:val="NoSpacing"/>
        <w:jc w:val="both"/>
        <w:rPr>
          <w:rFonts w:cs="Times New Roman"/>
          <w:szCs w:val="28"/>
        </w:rPr>
      </w:pPr>
    </w:p>
    <w:p w:rsidR="000C40C7" w:rsidRPr="005D6255" w:rsidRDefault="000C40C7" w:rsidP="005D6255">
      <w:pPr>
        <w:pStyle w:val="NoSpacing"/>
        <w:jc w:val="both"/>
        <w:rPr>
          <w:rFonts w:cs="Times New Roman"/>
          <w:szCs w:val="28"/>
        </w:rPr>
      </w:pPr>
    </w:p>
    <w:p w:rsidR="005D6255" w:rsidRPr="00F70141" w:rsidRDefault="005D6255" w:rsidP="005D6255">
      <w:pPr>
        <w:pStyle w:val="NoSpacing"/>
        <w:jc w:val="both"/>
        <w:rPr>
          <w:rFonts w:cs="Times New Roman"/>
          <w:b/>
          <w:sz w:val="26"/>
          <w:szCs w:val="28"/>
        </w:rPr>
      </w:pPr>
      <w:r w:rsidRPr="00F70141">
        <w:rPr>
          <w:rFonts w:cs="Times New Roman"/>
          <w:b/>
          <w:sz w:val="26"/>
          <w:szCs w:val="28"/>
        </w:rPr>
        <w:t>II.</w:t>
      </w:r>
      <w:r w:rsidRPr="00F70141">
        <w:rPr>
          <w:rFonts w:cs="Times New Roman"/>
          <w:b/>
          <w:sz w:val="26"/>
          <w:szCs w:val="28"/>
        </w:rPr>
        <w:tab/>
        <w:t>Details of the connected persons</w:t>
      </w:r>
    </w:p>
    <w:p w:rsidR="005D6255" w:rsidRPr="00F70141" w:rsidRDefault="005D6255" w:rsidP="005D6255">
      <w:pPr>
        <w:pStyle w:val="NoSpacing"/>
        <w:jc w:val="both"/>
        <w:rPr>
          <w:rFonts w:cs="Times New Roman"/>
          <w:b/>
          <w:sz w:val="26"/>
          <w:szCs w:val="28"/>
        </w:rPr>
      </w:pPr>
    </w:p>
    <w:p w:rsidR="005D6255" w:rsidRPr="00F70141" w:rsidRDefault="005D6255" w:rsidP="005D6255">
      <w:pPr>
        <w:pStyle w:val="NoSpacing"/>
        <w:ind w:left="720" w:hanging="720"/>
        <w:jc w:val="both"/>
        <w:rPr>
          <w:rFonts w:cs="Times New Roman"/>
          <w:b/>
          <w:sz w:val="26"/>
          <w:szCs w:val="28"/>
        </w:rPr>
      </w:pPr>
      <w:r w:rsidRPr="00F70141">
        <w:rPr>
          <w:rFonts w:cs="Times New Roman"/>
          <w:b/>
          <w:sz w:val="26"/>
          <w:szCs w:val="28"/>
        </w:rPr>
        <w:t>(a)</w:t>
      </w:r>
      <w:r w:rsidRPr="00F70141">
        <w:rPr>
          <w:rFonts w:cs="Times New Roman"/>
          <w:b/>
          <w:sz w:val="26"/>
          <w:szCs w:val="28"/>
        </w:rPr>
        <w:tab/>
        <w:t>Persons who are promoters or in the management or control of the Resolution Applicant;</w:t>
      </w:r>
    </w:p>
    <w:p w:rsidR="005D6255" w:rsidRPr="00F70141" w:rsidRDefault="005D6255" w:rsidP="005D6255">
      <w:pPr>
        <w:pStyle w:val="NoSpacing"/>
        <w:ind w:left="720" w:hanging="720"/>
        <w:jc w:val="both"/>
        <w:rPr>
          <w:rFonts w:cs="Times New Roman"/>
          <w:b/>
          <w:sz w:val="26"/>
          <w:szCs w:val="28"/>
        </w:rPr>
      </w:pPr>
    </w:p>
    <w:p w:rsidR="005D6255" w:rsidRPr="00F70141" w:rsidRDefault="005D6255" w:rsidP="005D6255">
      <w:pPr>
        <w:pStyle w:val="NoSpacing"/>
        <w:ind w:left="720"/>
        <w:jc w:val="both"/>
        <w:rPr>
          <w:rFonts w:cs="Times New Roman"/>
          <w:sz w:val="26"/>
          <w:szCs w:val="28"/>
        </w:rPr>
      </w:pPr>
      <w:r w:rsidRPr="00F70141">
        <w:rPr>
          <w:rFonts w:cs="Times New Roman"/>
          <w:b/>
          <w:sz w:val="26"/>
          <w:szCs w:val="28"/>
        </w:rPr>
        <w:t>Promoter of the Resolution Applicant -</w:t>
      </w:r>
      <w:r w:rsidRPr="00F70141">
        <w:rPr>
          <w:rFonts w:cs="Times New Roman"/>
          <w:sz w:val="26"/>
          <w:szCs w:val="28"/>
        </w:rPr>
        <w:t xml:space="preserve"> </w:t>
      </w:r>
    </w:p>
    <w:p w:rsidR="005D6255" w:rsidRPr="00721D3C" w:rsidRDefault="00C7190E" w:rsidP="005D6255">
      <w:pPr>
        <w:pStyle w:val="NoSpacing"/>
        <w:ind w:left="720"/>
        <w:jc w:val="both"/>
        <w:rPr>
          <w:rFonts w:cs="Times New Roman"/>
          <w:sz w:val="26"/>
          <w:szCs w:val="24"/>
        </w:rPr>
      </w:pPr>
      <w:proofErr w:type="spellStart"/>
      <w:r>
        <w:rPr>
          <w:rFonts w:eastAsia="Times New Roman"/>
          <w:sz w:val="26"/>
          <w:szCs w:val="24"/>
          <w:lang w:eastAsia="en-IN"/>
        </w:rPr>
        <w:t>Xxxxxxx</w:t>
      </w:r>
      <w:proofErr w:type="spellEnd"/>
      <w:r w:rsidR="00721D3C" w:rsidRPr="00721D3C">
        <w:rPr>
          <w:rFonts w:cs="Times New Roman"/>
          <w:sz w:val="26"/>
          <w:szCs w:val="24"/>
        </w:rPr>
        <w:t xml:space="preserve"> </w:t>
      </w:r>
      <w:r w:rsidR="00416A84" w:rsidRPr="00721D3C">
        <w:rPr>
          <w:rFonts w:cs="Times New Roman"/>
          <w:sz w:val="26"/>
          <w:szCs w:val="24"/>
        </w:rPr>
        <w:t>– Detailed profile submitted.</w:t>
      </w:r>
    </w:p>
    <w:p w:rsidR="005D6255" w:rsidRPr="00721D3C" w:rsidRDefault="005D6255" w:rsidP="005D6255">
      <w:pPr>
        <w:pStyle w:val="NoSpacing"/>
        <w:ind w:left="720"/>
        <w:jc w:val="both"/>
        <w:rPr>
          <w:rFonts w:cs="Times New Roman"/>
          <w:sz w:val="26"/>
          <w:szCs w:val="24"/>
        </w:rPr>
      </w:pPr>
      <w:r w:rsidRPr="00721D3C">
        <w:rPr>
          <w:rFonts w:cs="Times New Roman"/>
          <w:b/>
          <w:sz w:val="26"/>
          <w:szCs w:val="24"/>
        </w:rPr>
        <w:t xml:space="preserve">Persons in control of management </w:t>
      </w:r>
      <w:r w:rsidR="00FE0FB9" w:rsidRPr="00721D3C">
        <w:rPr>
          <w:rFonts w:cs="Times New Roman"/>
          <w:b/>
          <w:sz w:val="26"/>
          <w:szCs w:val="24"/>
        </w:rPr>
        <w:t>–</w:t>
      </w:r>
      <w:r w:rsidRPr="00721D3C">
        <w:rPr>
          <w:rFonts w:cs="Times New Roman"/>
          <w:b/>
          <w:sz w:val="26"/>
          <w:szCs w:val="24"/>
        </w:rPr>
        <w:t xml:space="preserve"> </w:t>
      </w:r>
      <w:r w:rsidR="00FE0FB9" w:rsidRPr="00721D3C">
        <w:rPr>
          <w:rFonts w:cs="Times New Roman"/>
          <w:sz w:val="26"/>
          <w:szCs w:val="24"/>
        </w:rPr>
        <w:t>(</w:t>
      </w:r>
      <w:r w:rsidRPr="00721D3C">
        <w:rPr>
          <w:rFonts w:cs="Times New Roman"/>
          <w:sz w:val="26"/>
          <w:szCs w:val="24"/>
        </w:rPr>
        <w:t xml:space="preserve">details </w:t>
      </w:r>
      <w:r w:rsidR="00416A84" w:rsidRPr="00721D3C">
        <w:rPr>
          <w:rFonts w:cs="Times New Roman"/>
          <w:sz w:val="26"/>
          <w:szCs w:val="24"/>
        </w:rPr>
        <w:t>submitted</w:t>
      </w:r>
      <w:r w:rsidR="00FE0FB9" w:rsidRPr="00721D3C">
        <w:rPr>
          <w:rFonts w:cs="Times New Roman"/>
          <w:sz w:val="26"/>
          <w:szCs w:val="24"/>
        </w:rPr>
        <w:t>)</w:t>
      </w:r>
      <w:r w:rsidR="00416A84" w:rsidRPr="00721D3C">
        <w:rPr>
          <w:rFonts w:cs="Times New Roman"/>
          <w:sz w:val="26"/>
          <w:szCs w:val="24"/>
        </w:rPr>
        <w:t>.</w:t>
      </w:r>
    </w:p>
    <w:p w:rsidR="005D6255" w:rsidRPr="00F70141" w:rsidRDefault="005D6255" w:rsidP="005D6255">
      <w:pPr>
        <w:pStyle w:val="NoSpacing"/>
        <w:ind w:left="720"/>
        <w:jc w:val="both"/>
        <w:rPr>
          <w:rFonts w:cs="Times New Roman"/>
          <w:sz w:val="26"/>
          <w:szCs w:val="28"/>
        </w:rPr>
      </w:pPr>
    </w:p>
    <w:p w:rsidR="005D6255" w:rsidRPr="00F70141" w:rsidRDefault="005D6255" w:rsidP="005D6255">
      <w:pPr>
        <w:pStyle w:val="NoSpacing"/>
        <w:ind w:left="720" w:hanging="720"/>
        <w:jc w:val="both"/>
        <w:rPr>
          <w:rFonts w:cs="Times New Roman"/>
          <w:sz w:val="26"/>
          <w:szCs w:val="28"/>
        </w:rPr>
      </w:pPr>
      <w:r w:rsidRPr="00F70141">
        <w:rPr>
          <w:rFonts w:cs="Times New Roman"/>
          <w:b/>
          <w:sz w:val="26"/>
          <w:szCs w:val="28"/>
        </w:rPr>
        <w:t>(b)</w:t>
      </w:r>
      <w:r w:rsidRPr="00F70141">
        <w:rPr>
          <w:rFonts w:cs="Times New Roman"/>
          <w:b/>
          <w:sz w:val="26"/>
          <w:szCs w:val="28"/>
        </w:rPr>
        <w:tab/>
        <w:t>Persons who will be promoters or in management or control of the business the corporate debtor during the implementation of the resolution plan;</w:t>
      </w:r>
    </w:p>
    <w:p w:rsidR="005D6255" w:rsidRPr="00F70141" w:rsidRDefault="005D6255" w:rsidP="005D6255">
      <w:pPr>
        <w:pStyle w:val="NoSpacing"/>
        <w:ind w:left="720"/>
        <w:jc w:val="both"/>
        <w:rPr>
          <w:rFonts w:cs="Times New Roman"/>
          <w:sz w:val="26"/>
          <w:szCs w:val="28"/>
        </w:rPr>
      </w:pPr>
      <w:r w:rsidRPr="00F70141">
        <w:rPr>
          <w:rFonts w:cs="Times New Roman"/>
          <w:b/>
          <w:sz w:val="26"/>
          <w:szCs w:val="28"/>
        </w:rPr>
        <w:t xml:space="preserve">Promoter </w:t>
      </w:r>
      <w:r w:rsidR="00FE0FB9">
        <w:rPr>
          <w:rFonts w:cs="Times New Roman"/>
          <w:b/>
          <w:sz w:val="26"/>
          <w:szCs w:val="28"/>
        </w:rPr>
        <w:t>–</w:t>
      </w:r>
      <w:r w:rsidRPr="00F70141">
        <w:rPr>
          <w:rFonts w:cs="Times New Roman"/>
          <w:b/>
          <w:sz w:val="26"/>
          <w:szCs w:val="28"/>
        </w:rPr>
        <w:t xml:space="preserve"> </w:t>
      </w:r>
      <w:r w:rsidR="00FE0FB9">
        <w:rPr>
          <w:rFonts w:cs="Times New Roman"/>
          <w:b/>
          <w:sz w:val="26"/>
          <w:szCs w:val="28"/>
        </w:rPr>
        <w:t xml:space="preserve">(details of promoters during implementation) </w:t>
      </w:r>
      <w:r w:rsidR="00FE0FB9">
        <w:rPr>
          <w:rFonts w:cs="Times New Roman"/>
          <w:sz w:val="26"/>
          <w:szCs w:val="28"/>
        </w:rPr>
        <w:t xml:space="preserve"> </w:t>
      </w:r>
    </w:p>
    <w:p w:rsidR="007D3F80" w:rsidRPr="00F70141" w:rsidRDefault="007D3F80" w:rsidP="005D6255">
      <w:pPr>
        <w:pStyle w:val="NoSpacing"/>
        <w:ind w:left="720"/>
        <w:jc w:val="both"/>
        <w:rPr>
          <w:rFonts w:cs="Times New Roman"/>
          <w:sz w:val="26"/>
          <w:szCs w:val="28"/>
        </w:rPr>
      </w:pPr>
    </w:p>
    <w:p w:rsidR="005D6255" w:rsidRDefault="005D6255" w:rsidP="005D6255">
      <w:pPr>
        <w:pStyle w:val="NoSpacing"/>
        <w:ind w:left="720"/>
        <w:jc w:val="both"/>
        <w:rPr>
          <w:rFonts w:cs="Times New Roman"/>
          <w:b/>
          <w:sz w:val="26"/>
          <w:szCs w:val="28"/>
        </w:rPr>
      </w:pPr>
      <w:r w:rsidRPr="00F70141">
        <w:rPr>
          <w:rFonts w:cs="Times New Roman"/>
          <w:b/>
          <w:sz w:val="26"/>
          <w:szCs w:val="28"/>
        </w:rPr>
        <w:t xml:space="preserve">Persons in Management Control of the Corporate Debtor during implementation of Resolution Plan </w:t>
      </w:r>
      <w:r w:rsidR="00FE0FB9">
        <w:rPr>
          <w:rFonts w:cs="Times New Roman"/>
          <w:b/>
          <w:sz w:val="26"/>
          <w:szCs w:val="28"/>
        </w:rPr>
        <w:t>–</w:t>
      </w:r>
      <w:r w:rsidRPr="00F70141">
        <w:rPr>
          <w:rFonts w:cs="Times New Roman"/>
          <w:b/>
          <w:sz w:val="26"/>
          <w:szCs w:val="28"/>
        </w:rPr>
        <w:t xml:space="preserve"> </w:t>
      </w:r>
      <w:r w:rsidR="00FE0FB9">
        <w:rPr>
          <w:rFonts w:cs="Times New Roman"/>
          <w:b/>
          <w:sz w:val="26"/>
          <w:szCs w:val="28"/>
        </w:rPr>
        <w:t xml:space="preserve">(details attached) </w:t>
      </w:r>
    </w:p>
    <w:p w:rsidR="00090E04" w:rsidRDefault="00090E04" w:rsidP="00090E04">
      <w:pPr>
        <w:pStyle w:val="NoSpacing"/>
        <w:jc w:val="both"/>
        <w:rPr>
          <w:rFonts w:cs="Times New Roman"/>
          <w:sz w:val="26"/>
          <w:szCs w:val="28"/>
        </w:rPr>
      </w:pPr>
    </w:p>
    <w:p w:rsidR="00090E04" w:rsidRPr="00721D3C" w:rsidRDefault="00C7190E" w:rsidP="005D6255">
      <w:pPr>
        <w:pStyle w:val="NoSpacing"/>
        <w:ind w:left="720"/>
        <w:jc w:val="both"/>
        <w:rPr>
          <w:rFonts w:cs="Times New Roman"/>
          <w:sz w:val="26"/>
          <w:szCs w:val="24"/>
        </w:rPr>
      </w:pPr>
      <w:proofErr w:type="spellStart"/>
      <w:r>
        <w:rPr>
          <w:rFonts w:eastAsia="Times New Roman"/>
          <w:sz w:val="26"/>
          <w:szCs w:val="24"/>
          <w:lang w:eastAsia="en-IN"/>
        </w:rPr>
        <w:t>Xxxxxxx</w:t>
      </w:r>
      <w:proofErr w:type="spellEnd"/>
      <w:r w:rsidR="00416A84" w:rsidRPr="00721D3C">
        <w:rPr>
          <w:rFonts w:cs="Times New Roman"/>
          <w:sz w:val="26"/>
          <w:szCs w:val="24"/>
        </w:rPr>
        <w:t>– Detailed p</w:t>
      </w:r>
      <w:r w:rsidR="00090E04" w:rsidRPr="00721D3C">
        <w:rPr>
          <w:rFonts w:cs="Times New Roman"/>
          <w:sz w:val="26"/>
          <w:szCs w:val="24"/>
        </w:rPr>
        <w:t xml:space="preserve">rofile </w:t>
      </w:r>
      <w:r w:rsidR="00416A84" w:rsidRPr="00721D3C">
        <w:rPr>
          <w:rFonts w:cs="Times New Roman"/>
          <w:sz w:val="26"/>
          <w:szCs w:val="24"/>
        </w:rPr>
        <w:t>submitted.</w:t>
      </w:r>
    </w:p>
    <w:p w:rsidR="00456734" w:rsidRDefault="00456734" w:rsidP="005D6255">
      <w:pPr>
        <w:pStyle w:val="NoSpacing"/>
        <w:ind w:left="720"/>
        <w:jc w:val="both"/>
        <w:rPr>
          <w:rFonts w:cs="Times New Roman"/>
          <w:sz w:val="26"/>
          <w:szCs w:val="28"/>
        </w:rPr>
      </w:pPr>
    </w:p>
    <w:p w:rsidR="00090E04" w:rsidRPr="00F70141" w:rsidRDefault="00090E04" w:rsidP="005D6255">
      <w:pPr>
        <w:pStyle w:val="NoSpacing"/>
        <w:ind w:left="720"/>
        <w:jc w:val="both"/>
        <w:rPr>
          <w:rFonts w:cs="Times New Roman"/>
          <w:sz w:val="26"/>
          <w:szCs w:val="28"/>
        </w:rPr>
      </w:pPr>
    </w:p>
    <w:p w:rsidR="005D6255" w:rsidRPr="00F70141" w:rsidRDefault="005D6255" w:rsidP="005D6255">
      <w:pPr>
        <w:pStyle w:val="NoSpacing"/>
        <w:ind w:left="720" w:hanging="720"/>
        <w:jc w:val="both"/>
        <w:rPr>
          <w:rFonts w:cs="Times New Roman"/>
          <w:b/>
          <w:sz w:val="26"/>
          <w:szCs w:val="28"/>
        </w:rPr>
      </w:pPr>
      <w:r w:rsidRPr="00F70141">
        <w:rPr>
          <w:rFonts w:cs="Times New Roman"/>
          <w:b/>
          <w:sz w:val="26"/>
          <w:szCs w:val="28"/>
        </w:rPr>
        <w:t>(c)</w:t>
      </w:r>
      <w:r w:rsidRPr="00F70141">
        <w:rPr>
          <w:rFonts w:cs="Times New Roman"/>
          <w:b/>
          <w:sz w:val="26"/>
          <w:szCs w:val="28"/>
        </w:rPr>
        <w:tab/>
        <w:t>Holding company, subsidiary company, associate company and related party of the persons referred to in items (a) and (b</w:t>
      </w:r>
      <w:proofErr w:type="gramStart"/>
      <w:r w:rsidRPr="00F70141">
        <w:rPr>
          <w:rFonts w:cs="Times New Roman"/>
          <w:b/>
          <w:sz w:val="26"/>
          <w:szCs w:val="28"/>
        </w:rPr>
        <w:t>) .</w:t>
      </w:r>
      <w:proofErr w:type="gramEnd"/>
    </w:p>
    <w:p w:rsidR="005D6255" w:rsidRPr="00F70141" w:rsidRDefault="005D6255" w:rsidP="005D6255">
      <w:pPr>
        <w:pStyle w:val="NoSpacing"/>
        <w:jc w:val="both"/>
        <w:rPr>
          <w:rFonts w:cs="Times New Roman"/>
          <w:b/>
          <w:sz w:val="26"/>
          <w:szCs w:val="28"/>
        </w:rPr>
      </w:pPr>
    </w:p>
    <w:p w:rsidR="005D6255" w:rsidRPr="00F55B0F" w:rsidRDefault="005D6255" w:rsidP="005D6255">
      <w:pPr>
        <w:pStyle w:val="NoSpacing"/>
        <w:ind w:firstLine="720"/>
        <w:jc w:val="both"/>
        <w:rPr>
          <w:rFonts w:cs="Times New Roman"/>
          <w:sz w:val="26"/>
          <w:szCs w:val="28"/>
        </w:rPr>
      </w:pPr>
      <w:r w:rsidRPr="00F70141">
        <w:rPr>
          <w:rFonts w:cs="Times New Roman"/>
          <w:b/>
          <w:sz w:val="26"/>
          <w:szCs w:val="28"/>
        </w:rPr>
        <w:t xml:space="preserve">Holding </w:t>
      </w:r>
      <w:r w:rsidRPr="00F55B0F">
        <w:rPr>
          <w:rFonts w:cs="Times New Roman"/>
          <w:b/>
          <w:sz w:val="26"/>
          <w:szCs w:val="28"/>
        </w:rPr>
        <w:t>Company –</w:t>
      </w:r>
      <w:r w:rsidR="00090E04" w:rsidRPr="00F55B0F">
        <w:rPr>
          <w:rFonts w:cs="Times New Roman"/>
          <w:b/>
          <w:sz w:val="26"/>
          <w:szCs w:val="28"/>
        </w:rPr>
        <w:t xml:space="preserve"> </w:t>
      </w:r>
      <w:r w:rsidR="00C7190E">
        <w:rPr>
          <w:rFonts w:cs="Times New Roman"/>
          <w:b/>
          <w:sz w:val="26"/>
          <w:szCs w:val="28"/>
        </w:rPr>
        <w:t xml:space="preserve">     </w:t>
      </w:r>
    </w:p>
    <w:p w:rsidR="005D6255" w:rsidRPr="00F55B0F" w:rsidRDefault="005D6255" w:rsidP="005D6255">
      <w:pPr>
        <w:pStyle w:val="NoSpacing"/>
        <w:ind w:left="720"/>
        <w:jc w:val="both"/>
        <w:rPr>
          <w:rFonts w:cs="Times New Roman"/>
          <w:sz w:val="26"/>
          <w:szCs w:val="28"/>
        </w:rPr>
      </w:pPr>
      <w:r w:rsidRPr="00F55B0F">
        <w:rPr>
          <w:rFonts w:cs="Times New Roman"/>
          <w:b/>
          <w:sz w:val="26"/>
          <w:szCs w:val="28"/>
        </w:rPr>
        <w:t>Subsidiary Company -</w:t>
      </w:r>
      <w:r w:rsidRPr="00F55B0F">
        <w:rPr>
          <w:rFonts w:cs="Times New Roman"/>
          <w:sz w:val="26"/>
          <w:szCs w:val="28"/>
        </w:rPr>
        <w:t xml:space="preserve"> </w:t>
      </w:r>
      <w:r w:rsidR="00FE0FB9" w:rsidRPr="00F55B0F">
        <w:rPr>
          <w:rFonts w:cs="Times New Roman"/>
          <w:sz w:val="26"/>
          <w:szCs w:val="28"/>
        </w:rPr>
        <w:tab/>
      </w:r>
    </w:p>
    <w:p w:rsidR="00772CE1" w:rsidRPr="00F55B0F" w:rsidRDefault="005D6255" w:rsidP="00C7190E">
      <w:pPr>
        <w:pStyle w:val="NoSpacing"/>
        <w:ind w:firstLine="720"/>
        <w:jc w:val="both"/>
        <w:rPr>
          <w:rFonts w:cs="Times New Roman"/>
          <w:sz w:val="26"/>
          <w:szCs w:val="28"/>
        </w:rPr>
      </w:pPr>
      <w:r w:rsidRPr="00F55B0F">
        <w:rPr>
          <w:rFonts w:cs="Times New Roman"/>
          <w:b/>
          <w:sz w:val="26"/>
          <w:szCs w:val="28"/>
        </w:rPr>
        <w:t>Associate Company –</w:t>
      </w:r>
      <w:r w:rsidRPr="00F55B0F">
        <w:rPr>
          <w:rFonts w:cs="Times New Roman"/>
          <w:sz w:val="26"/>
          <w:szCs w:val="28"/>
        </w:rPr>
        <w:t xml:space="preserve"> </w:t>
      </w:r>
      <w:r w:rsidR="00EA4485" w:rsidRPr="00F55B0F">
        <w:rPr>
          <w:rFonts w:cs="Times New Roman"/>
          <w:sz w:val="26"/>
          <w:szCs w:val="28"/>
        </w:rPr>
        <w:tab/>
      </w:r>
    </w:p>
    <w:p w:rsidR="005D6255" w:rsidRPr="00F55B0F" w:rsidRDefault="005D6255" w:rsidP="005D6255">
      <w:pPr>
        <w:pStyle w:val="NoSpacing"/>
        <w:ind w:firstLine="720"/>
        <w:jc w:val="both"/>
        <w:rPr>
          <w:rFonts w:cs="Times New Roman"/>
          <w:sz w:val="26"/>
          <w:szCs w:val="28"/>
        </w:rPr>
      </w:pPr>
    </w:p>
    <w:p w:rsidR="0078049B" w:rsidRPr="00F55B0F" w:rsidRDefault="0078049B" w:rsidP="005D6255">
      <w:pPr>
        <w:pStyle w:val="NoSpacing"/>
        <w:ind w:firstLine="720"/>
        <w:jc w:val="both"/>
        <w:rPr>
          <w:rFonts w:cs="Times New Roman"/>
          <w:sz w:val="26"/>
          <w:szCs w:val="28"/>
        </w:rPr>
      </w:pPr>
    </w:p>
    <w:p w:rsidR="00A646F7" w:rsidRDefault="00A646F7" w:rsidP="00A646F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I, _____________________, the </w:t>
      </w:r>
      <w:r w:rsidR="005223FA">
        <w:rPr>
          <w:rFonts w:asciiTheme="majorHAnsi" w:hAnsiTheme="majorHAnsi" w:cstheme="minorHAnsi"/>
          <w:sz w:val="24"/>
          <w:szCs w:val="24"/>
        </w:rPr>
        <w:t xml:space="preserve">below </w:t>
      </w:r>
      <w:r>
        <w:rPr>
          <w:rFonts w:asciiTheme="majorHAnsi" w:hAnsiTheme="majorHAnsi" w:cstheme="minorHAnsi"/>
          <w:sz w:val="24"/>
          <w:szCs w:val="24"/>
        </w:rPr>
        <w:t xml:space="preserve">named deponent do hereby declare and verify that the contents of </w:t>
      </w:r>
      <w:r w:rsidR="005223FA">
        <w:rPr>
          <w:rFonts w:asciiTheme="majorHAnsi" w:hAnsiTheme="majorHAnsi" w:cstheme="minorHAnsi"/>
          <w:sz w:val="24"/>
          <w:szCs w:val="24"/>
        </w:rPr>
        <w:t xml:space="preserve">the above </w:t>
      </w:r>
      <w:r w:rsidRPr="00BC00F6">
        <w:rPr>
          <w:rFonts w:asciiTheme="majorHAnsi" w:hAnsiTheme="majorHAnsi" w:cstheme="minorHAnsi"/>
          <w:sz w:val="24"/>
          <w:szCs w:val="24"/>
        </w:rPr>
        <w:t xml:space="preserve">affidavit are true to my </w:t>
      </w:r>
      <w:r>
        <w:rPr>
          <w:rFonts w:asciiTheme="majorHAnsi" w:hAnsiTheme="majorHAnsi" w:cstheme="minorHAnsi"/>
          <w:sz w:val="24"/>
          <w:szCs w:val="24"/>
        </w:rPr>
        <w:t>knowledge</w:t>
      </w:r>
      <w:proofErr w:type="gramStart"/>
      <w:r>
        <w:rPr>
          <w:rFonts w:asciiTheme="majorHAnsi" w:hAnsiTheme="majorHAnsi" w:cstheme="minorHAnsi"/>
          <w:sz w:val="24"/>
          <w:szCs w:val="24"/>
        </w:rPr>
        <w:t xml:space="preserve">,  </w:t>
      </w:r>
      <w:r w:rsidRPr="00BC00F6">
        <w:rPr>
          <w:rFonts w:asciiTheme="majorHAnsi" w:hAnsiTheme="majorHAnsi" w:cstheme="minorHAnsi"/>
          <w:sz w:val="24"/>
          <w:szCs w:val="24"/>
        </w:rPr>
        <w:t>information</w:t>
      </w:r>
      <w:proofErr w:type="gramEnd"/>
      <w:r w:rsidRPr="00BC00F6">
        <w:rPr>
          <w:rFonts w:asciiTheme="majorHAnsi" w:hAnsiTheme="majorHAnsi" w:cstheme="minorHAnsi"/>
          <w:sz w:val="24"/>
          <w:szCs w:val="24"/>
        </w:rPr>
        <w:t xml:space="preserve"> and belief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A646F7" w:rsidRDefault="00A646F7" w:rsidP="00A646F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:rsidR="00A646F7" w:rsidRDefault="00A646F7" w:rsidP="00A646F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proofErr w:type="gramStart"/>
      <w:r>
        <w:rPr>
          <w:rFonts w:asciiTheme="majorHAnsi" w:hAnsiTheme="majorHAnsi" w:cstheme="minorHAnsi"/>
          <w:sz w:val="24"/>
          <w:szCs w:val="24"/>
        </w:rPr>
        <w:t xml:space="preserve">Verified at Hyderabad on this ___________ day of </w:t>
      </w:r>
      <w:r w:rsidR="00405B0B">
        <w:rPr>
          <w:rFonts w:asciiTheme="majorHAnsi" w:hAnsiTheme="majorHAnsi" w:cstheme="minorHAnsi"/>
          <w:sz w:val="24"/>
          <w:szCs w:val="24"/>
        </w:rPr>
        <w:t>_________________2018</w:t>
      </w:r>
      <w:r>
        <w:rPr>
          <w:rFonts w:asciiTheme="majorHAnsi" w:hAnsiTheme="majorHAnsi" w:cstheme="minorHAnsi"/>
          <w:sz w:val="24"/>
          <w:szCs w:val="24"/>
        </w:rPr>
        <w:t>.</w:t>
      </w:r>
      <w:proofErr w:type="gramEnd"/>
    </w:p>
    <w:p w:rsidR="0032006B" w:rsidRDefault="0032006B" w:rsidP="00A646F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p w:rsidR="00A646F7" w:rsidRDefault="00A646F7" w:rsidP="00A646F7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BC00F6">
        <w:rPr>
          <w:rFonts w:asciiTheme="majorHAnsi" w:hAnsiTheme="majorHAnsi" w:cstheme="minorHAnsi"/>
          <w:b/>
          <w:sz w:val="24"/>
          <w:szCs w:val="24"/>
        </w:rPr>
        <w:t>DEPONENT</w:t>
      </w:r>
    </w:p>
    <w:p w:rsidR="0078049B" w:rsidRDefault="0078049B" w:rsidP="0078049B">
      <w:pPr>
        <w:spacing w:after="0" w:line="240" w:lineRule="auto"/>
        <w:ind w:left="1"/>
        <w:rPr>
          <w:szCs w:val="24"/>
        </w:rPr>
      </w:pPr>
    </w:p>
    <w:p w:rsidR="00C7190E" w:rsidRDefault="004F52FE" w:rsidP="0078049B">
      <w:pPr>
        <w:spacing w:after="0" w:line="240" w:lineRule="auto"/>
        <w:ind w:left="1"/>
        <w:rPr>
          <w:szCs w:val="24"/>
        </w:rPr>
      </w:pPr>
      <w:r>
        <w:rPr>
          <w:szCs w:val="24"/>
        </w:rPr>
        <w:t xml:space="preserve">Date: </w:t>
      </w:r>
    </w:p>
    <w:p w:rsidR="004F52FE" w:rsidRDefault="004F52FE" w:rsidP="0078049B">
      <w:pPr>
        <w:spacing w:after="0" w:line="240" w:lineRule="auto"/>
        <w:ind w:left="1"/>
        <w:rPr>
          <w:szCs w:val="24"/>
        </w:rPr>
      </w:pPr>
      <w:r>
        <w:rPr>
          <w:szCs w:val="24"/>
        </w:rPr>
        <w:t>Place:</w:t>
      </w:r>
    </w:p>
    <w:sectPr w:rsidR="004F52FE" w:rsidSect="005D6255">
      <w:footerReference w:type="even" r:id="rId8"/>
      <w:footerReference w:type="default" r:id="rId9"/>
      <w:pgSz w:w="11909" w:h="16834" w:code="9"/>
      <w:pgMar w:top="1440" w:right="1440" w:bottom="1440" w:left="1440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B8" w:rsidRDefault="00971EB8" w:rsidP="004F52FE">
      <w:pPr>
        <w:spacing w:after="0" w:line="240" w:lineRule="auto"/>
      </w:pPr>
      <w:r>
        <w:separator/>
      </w:r>
    </w:p>
  </w:endnote>
  <w:endnote w:type="continuationSeparator" w:id="0">
    <w:p w:rsidR="00971EB8" w:rsidRDefault="00971EB8" w:rsidP="004F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FE" w:rsidRDefault="004F52FE" w:rsidP="002C7E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2FE" w:rsidRDefault="004F52FE" w:rsidP="004F52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FE" w:rsidRDefault="004F52FE" w:rsidP="002C7E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E5F">
      <w:rPr>
        <w:rStyle w:val="PageNumber"/>
        <w:noProof/>
      </w:rPr>
      <w:t>3</w:t>
    </w:r>
    <w:r>
      <w:rPr>
        <w:rStyle w:val="PageNumber"/>
      </w:rPr>
      <w:fldChar w:fldCharType="end"/>
    </w:r>
  </w:p>
  <w:p w:rsidR="004F52FE" w:rsidRDefault="004F52FE" w:rsidP="004F52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B8" w:rsidRDefault="00971EB8" w:rsidP="004F52FE">
      <w:pPr>
        <w:spacing w:after="0" w:line="240" w:lineRule="auto"/>
      </w:pPr>
      <w:r>
        <w:separator/>
      </w:r>
    </w:p>
  </w:footnote>
  <w:footnote w:type="continuationSeparator" w:id="0">
    <w:p w:rsidR="00971EB8" w:rsidRDefault="00971EB8" w:rsidP="004F5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7022"/>
    <w:multiLevelType w:val="hybridMultilevel"/>
    <w:tmpl w:val="394219C8"/>
    <w:lvl w:ilvl="0" w:tplc="38B4D5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55"/>
    <w:rsid w:val="00045C69"/>
    <w:rsid w:val="000465C4"/>
    <w:rsid w:val="00052B77"/>
    <w:rsid w:val="00065E5F"/>
    <w:rsid w:val="000764A7"/>
    <w:rsid w:val="00090E04"/>
    <w:rsid w:val="000B30DE"/>
    <w:rsid w:val="000C40C7"/>
    <w:rsid w:val="000D2B49"/>
    <w:rsid w:val="000E4ABD"/>
    <w:rsid w:val="00112B1E"/>
    <w:rsid w:val="0015139F"/>
    <w:rsid w:val="00173D36"/>
    <w:rsid w:val="0018364F"/>
    <w:rsid w:val="00197F33"/>
    <w:rsid w:val="001C62BA"/>
    <w:rsid w:val="001D7065"/>
    <w:rsid w:val="002013D4"/>
    <w:rsid w:val="00202830"/>
    <w:rsid w:val="002708E6"/>
    <w:rsid w:val="002C2C8E"/>
    <w:rsid w:val="002C4F42"/>
    <w:rsid w:val="002F0E0B"/>
    <w:rsid w:val="0032006B"/>
    <w:rsid w:val="00352394"/>
    <w:rsid w:val="00361FE5"/>
    <w:rsid w:val="00405B0B"/>
    <w:rsid w:val="00416A84"/>
    <w:rsid w:val="00417372"/>
    <w:rsid w:val="00451B7D"/>
    <w:rsid w:val="00456734"/>
    <w:rsid w:val="00456A5D"/>
    <w:rsid w:val="00476B23"/>
    <w:rsid w:val="0048527B"/>
    <w:rsid w:val="004A297A"/>
    <w:rsid w:val="004F52FE"/>
    <w:rsid w:val="005223FA"/>
    <w:rsid w:val="005549F4"/>
    <w:rsid w:val="00555725"/>
    <w:rsid w:val="005942EA"/>
    <w:rsid w:val="005A663A"/>
    <w:rsid w:val="005C7AE8"/>
    <w:rsid w:val="005D6255"/>
    <w:rsid w:val="005F0548"/>
    <w:rsid w:val="006074CE"/>
    <w:rsid w:val="006417BC"/>
    <w:rsid w:val="00653696"/>
    <w:rsid w:val="006F670D"/>
    <w:rsid w:val="007061D4"/>
    <w:rsid w:val="00721D3C"/>
    <w:rsid w:val="00743A93"/>
    <w:rsid w:val="00772CE1"/>
    <w:rsid w:val="0078049B"/>
    <w:rsid w:val="00784D5B"/>
    <w:rsid w:val="007C74B5"/>
    <w:rsid w:val="007D3F80"/>
    <w:rsid w:val="007F5D2D"/>
    <w:rsid w:val="008018A0"/>
    <w:rsid w:val="00853B09"/>
    <w:rsid w:val="00887696"/>
    <w:rsid w:val="008C0EAA"/>
    <w:rsid w:val="00935AEF"/>
    <w:rsid w:val="009565F3"/>
    <w:rsid w:val="00971EB8"/>
    <w:rsid w:val="00977024"/>
    <w:rsid w:val="009D6758"/>
    <w:rsid w:val="00A0091D"/>
    <w:rsid w:val="00A16C59"/>
    <w:rsid w:val="00A646F7"/>
    <w:rsid w:val="00A94DD1"/>
    <w:rsid w:val="00B567E7"/>
    <w:rsid w:val="00B56F78"/>
    <w:rsid w:val="00B93437"/>
    <w:rsid w:val="00BA3BFF"/>
    <w:rsid w:val="00BC1E18"/>
    <w:rsid w:val="00C034B6"/>
    <w:rsid w:val="00C5448A"/>
    <w:rsid w:val="00C7190E"/>
    <w:rsid w:val="00CC1022"/>
    <w:rsid w:val="00D150FD"/>
    <w:rsid w:val="00D17FE9"/>
    <w:rsid w:val="00D3598A"/>
    <w:rsid w:val="00D515F9"/>
    <w:rsid w:val="00DA38CB"/>
    <w:rsid w:val="00DB788F"/>
    <w:rsid w:val="00DE1FC9"/>
    <w:rsid w:val="00DE5B53"/>
    <w:rsid w:val="00E011AE"/>
    <w:rsid w:val="00E111FD"/>
    <w:rsid w:val="00E42EDD"/>
    <w:rsid w:val="00E72719"/>
    <w:rsid w:val="00E97398"/>
    <w:rsid w:val="00EA4485"/>
    <w:rsid w:val="00EC436A"/>
    <w:rsid w:val="00F03D94"/>
    <w:rsid w:val="00F35155"/>
    <w:rsid w:val="00F52DF9"/>
    <w:rsid w:val="00F55B0F"/>
    <w:rsid w:val="00F70141"/>
    <w:rsid w:val="00FC39A9"/>
    <w:rsid w:val="00FE0FB9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255"/>
    <w:pPr>
      <w:spacing w:after="0" w:line="240" w:lineRule="auto"/>
    </w:pPr>
  </w:style>
  <w:style w:type="table" w:styleId="TableGrid">
    <w:name w:val="Table Grid"/>
    <w:basedOn w:val="TableNormal"/>
    <w:uiPriority w:val="59"/>
    <w:rsid w:val="00F7014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141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C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FE"/>
  </w:style>
  <w:style w:type="character" w:styleId="PageNumber">
    <w:name w:val="page number"/>
    <w:basedOn w:val="DefaultParagraphFont"/>
    <w:uiPriority w:val="99"/>
    <w:semiHidden/>
    <w:unhideWhenUsed/>
    <w:rsid w:val="004F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255"/>
    <w:pPr>
      <w:spacing w:after="0" w:line="240" w:lineRule="auto"/>
    </w:pPr>
  </w:style>
  <w:style w:type="table" w:styleId="TableGrid">
    <w:name w:val="Table Grid"/>
    <w:basedOn w:val="TableNormal"/>
    <w:uiPriority w:val="59"/>
    <w:rsid w:val="00F7014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141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C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FE"/>
  </w:style>
  <w:style w:type="character" w:styleId="PageNumber">
    <w:name w:val="page number"/>
    <w:basedOn w:val="DefaultParagraphFont"/>
    <w:uiPriority w:val="99"/>
    <w:semiHidden/>
    <w:unhideWhenUsed/>
    <w:rsid w:val="004F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Narender Kumar</dc:creator>
  <cp:lastModifiedBy>Madhusudhan</cp:lastModifiedBy>
  <cp:revision>10</cp:revision>
  <cp:lastPrinted>2018-02-15T10:53:00Z</cp:lastPrinted>
  <dcterms:created xsi:type="dcterms:W3CDTF">2018-08-28T03:19:00Z</dcterms:created>
  <dcterms:modified xsi:type="dcterms:W3CDTF">2020-01-22T01:56:00Z</dcterms:modified>
</cp:coreProperties>
</file>